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334</w:t>
      </w:r>
    </w:p>
    <w:p>
      <w:r>
        <w:t>Bundesgericht (BGE), 2009-03-11, DE</w:t>
      </w:r>
    </w:p>
    <w:p>
      <w:r>
        <w:rPr>
          <w:b/>
        </w:rPr>
        <w:t xml:space="preserve">Quelle: </w:t>
      </w:r>
      <w:r>
        <w:t>https://mcp.opencaselaw.ch/entscheid/bge_135 III 334</w:t>
      </w:r>
    </w:p>
    <w:p>
      <w:r>
        <w:t>FR: ATF 135 III 334</w:t>
      </w:r>
    </w:p>
    <w:p>
      <w:r>
        <w:t>IT: DTF 135 III 334</w:t>
      </w:r>
    </w:p>
    <w:p>
      <w:pPr>
        <w:pStyle w:val="Heading2"/>
      </w:pPr>
      <w:r>
        <w:t>Regeste</w:t>
      </w:r>
    </w:p>
    <w:p>
      <w:r>
        <w:t>Regeste Bindung an den Rückweisungsentscheid nach dem Bundesgerichtsgesetz (BGG). Bindung des Bundesgerichts und der kantonalen Gerichte an einen Rückweisungsentscheid des Bundesgerichts (E. 2). Die Vereinigung des Verfahrens nach erfolgtem Rückweisungsentscheid mit einem nicht von diesem betroffenen ist an sich unzulässig. Erheben die Betroffenen dagegen im kantonalen Verfahren aber keine Einwände, wird angenommen, sie liessen den Rückweisungsentscheid gegen sich gelten (E. 2.2).</w:t>
      </w:r>
    </w:p>
    <w:p>
      <w:pPr>
        <w:pStyle w:val="Heading2"/>
      </w:pPr>
      <w:r>
        <w:t>Erwägungen</w:t>
      </w:r>
    </w:p>
    <w:p>
      <w:r>
        <w:rPr>
          <w:b/>
        </w:rPr>
        <w:t>E. 2</w:t>
      </w:r>
    </w:p>
    <w:p>
      <w:r>
        <w:t>Vor Einführung des Bundesgerichtsgesetzes (BGG) durfte die kantonale Instanz, an die eine Sache zurückgewiesen wurde, nach Art. 66 Abs. 1 OG neues Vorbringen berücksichtigen, soweit es nach dem kantonalen Prozessrecht noch zulässig war. Die nach kantonalem Prozessrecht zulässigen Noven hatten sich dabei stets innerhalb des rechtlichen Rahmens zu bewegen, den das Bundesgericht mit seinem Rückweisungsentscheid vorgegeben hatte. Der von der Rückweisung erfasste Streitpunkt durfte also nicht ausgeweitet oder auf eine neue Rechtsgrundlage gestellt werden ( BGE 131 III 91 E. 5.2 S. 94; BGE 116 II 220 E. 4a S. 222; je mit Hinweisen). Die mit der Neubeurteilung befasste kantonale Instanz hatte vielmehr die rechtliche Beurteilung, mit der die Rückweisung begründet wurde, ihrer Entscheidung zugrunde zu legen. Diese Beurteilung band auch das Bundesgericht ( BGE 133 III 201 E. 4.2 S. 208; BGE 125 III 421 E. 2a S. 423). Wegen dieser Bindung der Gerichte war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131 III 91 E. 5.2 S. 94; BGE 116 II 220 E. 4a S. 222; enger BGE 111 II 94 E. 2 S. 95; je mit Hinweisen). Wie weit die Gerichte und Parteien an die erste Entscheidung gebunden waren, ergab sich aus der Begründung der Rückweisung, die sowohl den Rahmen für die neuen Tatsachenfeststellungen als jenen für die neue rechtliche Begründung vorgab. Jedenfalls durfte der zuvor obsiegende Berufungskläger im neuen Verfahren keine Verschlechterung seiner Rechtsstellung erleiden. Im für ihn ungünstigsten Fall musste er sich mit dem bisherigen, von der Gegenpartei nicht angefochtenen Ergebnis abfinden ( BGE 131 III 91 E. 5.2 S. 94; BGE 116 II 220 E. 4a S. 222).</w:t>
      </w:r>
    </w:p>
    <w:p>
      <w:r>
        <w:rPr>
          <w:b/>
        </w:rPr>
        <w:t>E. 2.1</w:t>
      </w:r>
    </w:p>
    <w:p>
      <w:r>
        <w:t>Entsprechende Bestimmungen finden sich im BGG nicht, da die Bindung der kantonalen Instanz an den Rückweisungsentscheid als selbstverständlich angesehen wurde (vgl. Botschaft vom 28. Februar 2001 zur Totalrevision der Bundesrechtspflege, BBl 2001 4346 Ziff. 4.1.4.5 zu Art. 101 E-BGG am Ende). Daher besteht kein Anlass, unter der Herrschaft des BGG von der zu Art. 66 Abs. 1 OG ergangenen Rechtsprechung abzuweichen (Urteil des Bundesgerichts 4A_71/2007 vom 19. Oktober 2007 E. 2.1 f.). Offen ist lediglich, ob BGE 135 III 334 S. 336 auch gemäss BGG der Umfang der Bindung je nach dem Grund der Rückweisung unterschiedlich ist, analog der unterschiedlichen Wirkung der Rückweisung im Berufungsverfahren und im Verfahren der staatsrechtlichen Beschwerde (Urteil des Bundesgerichts 4A_5/2008 vom 22. Mai 2008 E. 1.1-1.3). Mit Blick auf die Bindung des Bundesgerichts und des Handelsgerichts an den Rückweisungsentscheid sind jedenfalls die vom Bundesgericht bereits entschiedenen Fragen nicht mehr zu überprüfen. Diesbezüglich kann die seither ergangene Rechtsprechung des Bundesgerichts oder des EuGH nicht berücksichtigt werden, und sind neue rechtliche Vorbringen entgegen der Auffassung der Beschwerdeführer unzulässig.</w:t>
      </w:r>
    </w:p>
    <w:p>
      <w:r>
        <w:rPr>
          <w:b/>
        </w:rPr>
        <w:t>E. 2.2</w:t>
      </w:r>
    </w:p>
    <w:p>
      <w:r>
        <w:t>Vor diesem Hintergrund erscheint die Vereinigung zweier Verfahren problematisch, wenn nur eines vom Rückweisungsentscheid des Bundesgerichts betroffen war. Die Verfahren befinden sich nicht im selben Prozessstadium (vgl. MAX GULDENER, Schweizerisches Zivilprozessrecht, 3. Aufl. 1979, S. 303; STEFAN KRAFT, Die gerichtliche Trennung und Vereinigung von Prozessen im zürcherischen Zivilprozess, 1959, S. 81), so dass die Ausdehnung des Rückweisungsentscheides auf daran nicht Beteiligte deren Rechte verkürzt. Die Beschwerdeführer 25 und 26 erheben diesbezüglich aber keine Rügen und sind mit der Vereinigung der Verfahren offensichtlich einverstanden. Andernfalls hätten sie sich dagegen bereits im kantonalen Verfahren umgehend zur Wehr setzen müssen, da es nach dem Grundsatz von Treu und Glauben und dem Verbot des Rechtsmissbrauchs nicht zulässig ist, formelle Rügen, die in einem früheren Prozessstadium hätten geltend gemacht werden können, bei ungünstigem Ausgang noch später vorzubringen ( BGE 134 I 20 E. 4.3.1 S. 21; BGE 132 II 485 E. 4.3 S. 496; BGE 130 III 66 E. 4.3 S. 75). Daher gilt die Bindungswirkung des Rückweisungsentscheides auch für die Beschwerdeführer 25 und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